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10"/>
        <w:gridCol w:w="1767"/>
        <w:gridCol w:w="1841"/>
        <w:gridCol w:w="439"/>
        <w:gridCol w:w="334"/>
        <w:gridCol w:w="160"/>
        <w:gridCol w:w="989"/>
        <w:gridCol w:w="3467"/>
      </w:tblGrid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9607"/>
            <w:gridSpan w:val="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jc w:val="center"/>
              <w:rPr>
                <w:rFonts w:ascii="Arial" w:cs="Arial" w:hAnsi="Arial" w:eastAsia="Arial"/>
                <w:b w:val="1"/>
                <w:bCs w:val="1"/>
                <w:sz w:val="32"/>
                <w:szCs w:val="32"/>
              </w:rPr>
            </w:pPr>
            <w:r>
              <w:rPr>
                <w:rFonts w:ascii="Arial" w:hAnsi="Arial"/>
                <w:b w:val="1"/>
                <w:bCs w:val="1"/>
                <w:sz w:val="32"/>
                <w:szCs w:val="32"/>
                <w:shd w:val="clear" w:color="auto" w:fill="c0c0c0"/>
                <w:rtl w:val="0"/>
              </w:rPr>
              <w:t>PATFAK</w:t>
            </w:r>
            <w:r>
              <w:rPr>
                <w:rFonts w:ascii="Arial" w:hAnsi="Arial"/>
                <w:b w:val="1"/>
                <w:bCs w:val="1"/>
                <w:sz w:val="32"/>
                <w:szCs w:val="32"/>
                <w:shd w:val="clear" w:color="auto" w:fill="c0c0c0"/>
                <w:rtl w:val="0"/>
                <w:lang w:val="de-DE"/>
              </w:rPr>
              <w:t>.ambu</w:t>
            </w:r>
          </w:p>
          <w:p>
            <w:pPr>
              <w:pStyle w:val="Body Tex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(Verfahrensbezeichnung)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377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Projekt-Nr.: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 xml:space="preserve">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  <w:tc>
          <w:tcPr>
            <w:tcW w:type="dxa" w:w="7230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Einf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hrung des Verfahrens (Jahr) ca.: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1. Grunds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tzliche Angaben zum Verfahren und zur Verantwortlichkeit.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1.1</w:t>
            </w:r>
          </w:p>
        </w:tc>
        <w:tc>
          <w:tcPr>
            <w:tcW w:type="dxa" w:w="17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Fachbereich: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 xml:space="preserve">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  <w:tc>
          <w:tcPr>
            <w:tcW w:type="dxa" w:w="7230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Verantwortliche 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hrungskraft mit Kontaktdaten: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 xml:space="preserve">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1.2</w:t>
            </w:r>
          </w:p>
        </w:tc>
        <w:tc>
          <w:tcPr>
            <w:tcW w:type="dxa" w:w="4541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Ausf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llende Person:</w:t>
            </w: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 xml:space="preserve">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  <w:tc>
          <w:tcPr>
            <w:tcW w:type="dxa" w:w="445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Revision Nr. </w:t>
            </w: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 xml:space="preserve">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vom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1.3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Datenschutzbeauftragter mit Kontaktdaten: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4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1.4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Name u. Anschrift des Auftragsdatenverarbeiters (sofern vorhanden)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Redline DATA GmbH EDV-Systeme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nl-NL"/>
              </w:rPr>
              <w:t>Dieksbarg 13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23623 Ahrensb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sv-SE"/>
              </w:rPr>
              <w:t>ö</w:t>
            </w:r>
            <w:r>
              <w:rPr>
                <w:rFonts w:ascii="Arial" w:hAnsi="Arial"/>
                <w:sz w:val="20"/>
                <w:szCs w:val="20"/>
                <w:rtl w:val="0"/>
              </w:rPr>
              <w:t>k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>Telefon +49 4525 - 49700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Telefax +49 4525 - 497070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Email info@redline-data.de</w:t>
            </w:r>
          </w:p>
          <w:p>
            <w:pPr>
              <w:pStyle w:val="Normal.0"/>
              <w:jc w:val="left"/>
              <w:rPr>
                <w:rFonts w:ascii="Arial" w:cs="Arial" w:hAnsi="Arial" w:eastAsia="Arial"/>
                <w:sz w:val="20"/>
                <w:szCs w:val="20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Datenschutzbeauftragter: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Rechtsanwalt Mark R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dlin, Lerchenstr. 28, 22767 HH, Tel. 040 69797280, ra@markruedlin.de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2. Zweckbestimmung und Rechtsgrundlage der Datenverarbeitung </w:t>
            </w:r>
          </w:p>
        </w:tc>
      </w:tr>
      <w:tr>
        <w:tblPrEx>
          <w:shd w:val="clear" w:color="auto" w:fill="ced7e7"/>
        </w:tblPrEx>
        <w:trPr>
          <w:trHeight w:val="88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2.1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Zweckbestimmung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>PATFAK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.ambu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ist eine Softwareanwendung zur Datenverwaltung, Leistungsabrechnung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, Leisstungserfassung, Dokumentation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und Statistik in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ambulanten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Einrichtungen der Suchtkrankenhilfe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der Jugendhilfe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und anderen Hilfebereichen</w:t>
            </w:r>
            <w:r>
              <w:rPr>
                <w:rFonts w:ascii="Arial" w:hAnsi="Arial"/>
                <w:sz w:val="20"/>
                <w:szCs w:val="20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2.2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Rechtsgrundlage bitte ankreuzen soweit zutreffend und erl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utern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Vertrag oder Vertragsanbahnung mit dem Betroffenen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1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Einwilligung des Betroffenen</w:t>
            </w:r>
          </w:p>
        </w:tc>
        <w:tc>
          <w:tcPr>
            <w:tcW w:type="dxa" w:w="461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Vorrangige Rechtsvorschriften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1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Interessenabw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gung</w:t>
            </w:r>
          </w:p>
        </w:tc>
        <w:tc>
          <w:tcPr>
            <w:tcW w:type="dxa" w:w="461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Sonstiges (bitte erl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utern)</w:t>
            </w:r>
          </w:p>
        </w:tc>
      </w:tr>
      <w:tr>
        <w:tblPrEx>
          <w:shd w:val="clear" w:color="auto" w:fill="ced7e7"/>
        </w:tblPrEx>
        <w:trPr>
          <w:trHeight w:val="13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Erl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uterungen:    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Sicherstellung einer bedarfsgerechten Versorgung der Bev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sv-SE"/>
              </w:rPr>
              <w:t>ö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lkerung f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 suchtgef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hrdete und -kranke Menschen aufgrund verschiedener sozialrechtlicher Rechtsgrundlagen unter Einbeziehung und Mitwirkung der Betroffenen.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Rechtsgrundlage: 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 xml:space="preserve">§§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630a ff. BGB, Art. 7 + Art. 9 Abs. 2 Ziff. a + c + h DSGVO, 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 xml:space="preserve">§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203 StGB,  und diverse  Vorschriften der Sozialgesetzb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cher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3.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Beschreibung der Kategorien der betroffenen Personen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3. a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Kreis der betroffenen Personengruppen 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40"/>
            <w:gridSpan w:val="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Patienten / Klienten etc.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Kunden / Lieferanten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40"/>
            <w:gridSpan w:val="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Besch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ftigte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Interessenten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Sonstige: </w:t>
            </w: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>Angeh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  <w:lang w:val="sv-SE"/>
              </w:rPr>
              <w:t>ö</w:t>
            </w: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>rige, Bezugspersonen</w:t>
            </w: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>, Kooperationspartner, Leistungstr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  <w:lang w:val="de-DE"/>
              </w:rPr>
              <w:t>ger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3. b.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Art der gespeicherten Daten / Datenkategorien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2377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Stammdaten</w:t>
            </w:r>
          </w:p>
        </w:tc>
        <w:tc>
          <w:tcPr>
            <w:tcW w:type="dxa" w:w="22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Medizinische Daten</w:t>
            </w:r>
          </w:p>
        </w:tc>
        <w:tc>
          <w:tcPr>
            <w:tcW w:type="dxa" w:w="495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Versicherungsdaten</w:t>
            </w:r>
          </w:p>
        </w:tc>
      </w:tr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2377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Behandlungsdaten</w:t>
            </w:r>
          </w:p>
        </w:tc>
        <w:tc>
          <w:tcPr>
            <w:tcW w:type="dxa" w:w="22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Dokumentation</w:t>
            </w:r>
          </w:p>
        </w:tc>
        <w:tc>
          <w:tcPr>
            <w:tcW w:type="dxa" w:w="495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Sonstiges: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536"/>
                <w:tab w:val="clear" w:pos="9072"/>
              </w:tabs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3. c</w:t>
            </w:r>
          </w:p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Welche besonderen Arten von Daten werden verarbeitet? 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 zur Gesundheit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 zum Sexualleben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ber rassische und ethnische Herkunft 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 zu politischen Meinungen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 zu religi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sen oder philosophischen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berzeugungen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 zur Gewerkschaftszugeh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rigkeit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 Keine dieser Daten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Rechtsgrundlage 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 diese besonderen Daten (bitte ankreuzen soweit zutreffend)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Vertrag oder Vertragsanbahnung mit dem Betroffenen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1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Einwilligung des Betroffenen</w:t>
            </w:r>
          </w:p>
        </w:tc>
        <w:tc>
          <w:tcPr>
            <w:tcW w:type="dxa" w:w="461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Vorrangige Rechtsvorschriften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81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Interessenabw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gung</w:t>
            </w:r>
          </w:p>
        </w:tc>
        <w:tc>
          <w:tcPr>
            <w:tcW w:type="dxa" w:w="461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Sonstiges (bitte erl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utern)</w:t>
            </w:r>
          </w:p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61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97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Erl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uterungen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c0c0c0"/>
                <w:rtl w:val="0"/>
              </w:rPr>
              <w:t>vgl. 2.2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4. Art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bermittelter Daten und deren Empf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nger 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Interne Empf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nger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Interne Stelle (Org-Einheit)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Art der Daten 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Zweck der Daten-Mitteilung</w:t>
            </w:r>
          </w:p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Mitbehandelnde Personen im Teamhzusammenhang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>Individuelle Behandlungsdaten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>Mitbehandlung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>Abrechnungsstelle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>Abrechnungsdaten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>Leistungsabrechnung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Externe Empf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nger und Dritte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Externe Stelle 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Art der Daten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Zweck der Daten-Mitteilung</w:t>
            </w:r>
          </w:p>
        </w:tc>
      </w:tr>
      <w:tr>
        <w:tblPrEx>
          <w:shd w:val="clear" w:color="auto" w:fill="ced7e7"/>
        </w:tblPrEx>
        <w:trPr>
          <w:trHeight w:val="88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Kostentr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>ä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ger (z. B. Krankenversicherungen, Pflegekassen, Rentenversicherungstr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>ä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ger, staatliche Sozialbeh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sv-SE"/>
              </w:rPr>
              <w:t>ö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rden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Abrechnungs- und Leistungsbewillig-ungsdaten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Abrechnung und Leistungsbewilligung</w:t>
            </w:r>
          </w:p>
        </w:tc>
      </w:tr>
      <w:tr>
        <w:tblPrEx>
          <w:shd w:val="clear" w:color="auto" w:fill="ced7e7"/>
        </w:tblPrEx>
        <w:trPr>
          <w:trHeight w:val="66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Nachfolgende Behandlungseinrichtungen und Behandlungspersonen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Entlassbericht, Behandlungsdaten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shd w:val="clear" w:color="auto" w:fill="c0c0c0"/>
                <w:rtl w:val="0"/>
                <w:lang w:val="de-DE"/>
              </w:rPr>
              <w:t>Weiterbehandlung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218"/>
            <w:gridSpan w:val="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  <w:tc>
          <w:tcPr>
            <w:tcW w:type="dxa" w:w="192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  <w:tc>
          <w:tcPr>
            <w:tcW w:type="dxa" w:w="34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Geplante Daten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bermittlung in Drittstaaten (au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ß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erhalb der EU) </w:t>
            </w:r>
          </w:p>
        </w:tc>
      </w:tr>
      <w:tr>
        <w:tblPrEx>
          <w:shd w:val="clear" w:color="auto" w:fill="ced7e7"/>
        </w:tblPrEx>
        <w:trPr>
          <w:trHeight w:val="110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 Daten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bermittlung findet nicht statt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 Daten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bermittlung an Drittland, Name: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         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Empf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ngerkategorie + Organisation: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 Dokumentation geeigneter Garantien: </w:t>
            </w:r>
            <w:r>
              <w:rPr>
                <w:rFonts w:ascii="Arial" w:hAnsi="Arial" w:hint="default"/>
                <w:sz w:val="20"/>
                <w:szCs w:val="20"/>
                <w:shd w:val="clear" w:color="auto" w:fill="c0c0c0"/>
                <w:rtl w:val="0"/>
              </w:rPr>
              <w:t>     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 5. Regelfristen f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r die L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schung der Daten 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Ist eine fristabh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ngige L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schung vorgesehen?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de-DE"/>
              </w:rPr>
              <w:br w:type="textWrapping"/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Ja</w:t>
              <w:tab/>
              <w:t xml:space="preserve"> Nein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L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de-DE"/>
              </w:rPr>
              <w:t>ö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schung nach: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Die Dokumentationsdauer in PatFak betr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>ä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gt 10 Jahre.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Rechtsgrundlage: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 xml:space="preserve">§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10 Abs. 3 Landes-Berufsordnung-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sv-SE"/>
              </w:rPr>
              <w:t>Ä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rzte,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 xml:space="preserve">§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630f. Abs. 3 BGB;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"/>
              </w:numPr>
              <w:jc w:val="left"/>
              <w:rPr>
                <w:rFonts w:ascii="Arial" w:hAnsi="Arial"/>
                <w:b w:val="1"/>
                <w:bCs w:val="1"/>
                <w:sz w:val="20"/>
                <w:szCs w:val="20"/>
                <w:lang w:val="de-DE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Zugriffsberechtigte Personengruppen (Berechtigungsgruppen) 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Medizinische und therapeutische MitarbeiterInnen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VerwaltungsmitarbeiterInnen im Rahmen der Aufgabenerf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>ü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>llung</w:t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Hauswirtschaft und Technik im Rahmen der Aufgabenerf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llung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Die Berechtigungen werden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ber das Active Directory/Betriebssystem administriert.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de-DE"/>
              </w:rPr>
              <w:br w:type="textWrapping"/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de-DE"/>
              </w:rPr>
              <w:t xml:space="preserve"> Ja</w:t>
              <w:tab/>
              <w:t xml:space="preserve"> Nein</w:t>
            </w:r>
          </w:p>
        </w:tc>
      </w:tr>
      <w:tr>
        <w:tblPrEx>
          <w:shd w:val="clear" w:color="auto" w:fill="ced7e7"/>
        </w:tblPrEx>
        <w:trPr>
          <w:trHeight w:val="88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Die Berechtigungen werden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 xml:space="preserve">ber ein eigenes Berechtigungsverfahren in der Anwendung gesetzt.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de-DE"/>
              </w:rPr>
              <w:br w:type="textWrapping"/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Ja</w:t>
              <w:tab/>
              <w:t xml:space="preserve"> Nein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7. Konzeptionelle Ma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ß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nahmen</w:t>
            </w:r>
          </w:p>
        </w:tc>
      </w:tr>
      <w:tr>
        <w:tblPrEx>
          <w:shd w:val="clear" w:color="auto" w:fill="ced7e7"/>
        </w:tblPrEx>
        <w:trPr>
          <w:trHeight w:val="386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Sind die TOM (technisch-organisatorischen Ma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ß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nahmen) definiert, beachtet und umgesetzt?</w:t>
            </w:r>
          </w:p>
          <w:p>
            <w:pPr>
              <w:pStyle w:val="Body Text"/>
              <w:bidi w:val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Ja</w:t>
              <w:tab/>
              <w:t xml:space="preserve"> Nein</w:t>
            </w:r>
          </w:p>
          <w:p>
            <w:pPr>
              <w:pStyle w:val="Body Text"/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insbesondere: </w:t>
            </w:r>
          </w:p>
          <w:p>
            <w:pPr>
              <w:pStyle w:val="Body Text"/>
              <w:numPr>
                <w:ilvl w:val="0"/>
                <w:numId w:val="3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Pseudonymsierung                                              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3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Verschl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sselung                                                   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3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Gew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hrleistung der Vertraulichkeit                      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3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Gew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hrleistung der Integrit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t                               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4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Gew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hrleistung der Verf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gbarkeit                        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4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Gew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hrleistung der Belastbarkeit der Systeme   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4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Gew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hrleistung Wiederherstellung Verf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gbarkeit            Ja</w:t>
              <w:tab/>
              <w:t xml:space="preserve"> Nein</w:t>
            </w:r>
          </w:p>
          <w:p>
            <w:pPr>
              <w:pStyle w:val="Body Text"/>
              <w:numPr>
                <w:ilvl w:val="0"/>
                <w:numId w:val="4"/>
              </w:numPr>
              <w:bidi w:val="0"/>
              <w:spacing w:after="0"/>
              <w:ind w:right="0"/>
              <w:jc w:val="both"/>
              <w:rPr>
                <w:rFonts w:ascii="Arial" w:cs="Arial" w:hAnsi="Arial" w:eastAsia="Arial"/>
                <w:sz w:val="20"/>
                <w:szCs w:val="20"/>
                <w:rtl w:val="0"/>
                <w:lang w:val="de-DE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Regelm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äß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ige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berpr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fungen                                           Ja</w:t>
              <w:tab/>
              <w:t xml:space="preserve"> Nein</w:t>
            </w:r>
          </w:p>
          <w:p>
            <w:pPr>
              <w:pStyle w:val="Body Text"/>
              <w:tabs>
                <w:tab w:val="left" w:pos="5556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Dokumentiert durch:</w:t>
            </w:r>
          </w:p>
          <w:p>
            <w:pPr>
              <w:pStyle w:val="Body Text"/>
              <w:tabs>
                <w:tab w:val="left" w:pos="5556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interne Verfahrensregeln 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     </w:t>
            </w:r>
          </w:p>
          <w:p>
            <w:pPr>
              <w:pStyle w:val="Body Text"/>
              <w:tabs>
                <w:tab w:val="left" w:pos="5556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Risikoanalyse 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     </w:t>
            </w:r>
          </w:p>
          <w:p>
            <w:pPr>
              <w:pStyle w:val="Body Text"/>
              <w:tabs>
                <w:tab w:val="left" w:pos="5556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Datenschutz- und IT-Sicherheitskonzept </w:t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zu PATFAK von Redline DATA GmbH </w:t>
            </w:r>
          </w:p>
          <w:p>
            <w:pPr>
              <w:pStyle w:val="Body Text"/>
              <w:tabs>
                <w:tab w:val="left" w:pos="5556"/>
              </w:tabs>
              <w:bidi w:val="0"/>
              <w:spacing w:after="0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Wiederanlaufkonzept 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     </w:t>
            </w:r>
          </w:p>
          <w:p>
            <w:pPr>
              <w:pStyle w:val="Body Text"/>
              <w:tabs>
                <w:tab w:val="left" w:pos="5556"/>
              </w:tabs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Zertifikat: Zertifizierungsstelle: 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Zus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de-DE"/>
              </w:rPr>
              <w:t>ä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tzliche/abweichende TOM: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9607"/>
            <w:gridSpan w:val="8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de-DE"/>
              </w:rPr>
              <w:t>Sonstiges: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</w:rPr>
              <w:t>     </w:t>
            </w:r>
          </w:p>
        </w:tc>
      </w:tr>
    </w:tbl>
    <w:p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tabs>
          <w:tab w:val="left" w:pos="1155"/>
        </w:tabs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  <w:u w:val="single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u w:val="single"/>
          <w:rtl w:val="0"/>
          <w:lang w:val="de-DE"/>
        </w:rPr>
        <w:t>Ergebnis und Freigabe</w:t>
      </w:r>
    </w:p>
    <w:p>
      <w:pPr>
        <w:pStyle w:val="Normal.0"/>
        <w:tabs>
          <w:tab w:val="left" w:pos="1155"/>
        </w:tabs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tabs>
          <w:tab w:val="left" w:pos="1155"/>
        </w:tabs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Das Verfahren ist beanstandungsfrei und wird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 xml:space="preserve">–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 xml:space="preserve">wie beschrieben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 xml:space="preserve">–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freigegeben.</w:t>
      </w:r>
    </w:p>
    <w:p>
      <w:pPr>
        <w:pStyle w:val="Normal.0"/>
        <w:tabs>
          <w:tab w:val="left" w:pos="1155"/>
        </w:tabs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tabs>
          <w:tab w:val="left" w:pos="1155"/>
        </w:tabs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Ort, Datum der Freigabe (</w:t>
      </w:r>
      <w:r>
        <w:rPr>
          <w:rFonts w:ascii="Arial" w:hAnsi="Arial" w:hint="default"/>
          <w:sz w:val="20"/>
          <w:szCs w:val="20"/>
          <w:shd w:val="clear" w:color="auto" w:fill="c0c0c0"/>
          <w:rtl w:val="0"/>
          <w:lang w:val="de-DE"/>
        </w:rPr>
        <w:t>     </w:t>
      </w:r>
      <w:r>
        <w:rPr>
          <w:rFonts w:ascii="Arial" w:hAnsi="Arial"/>
          <w:sz w:val="20"/>
          <w:szCs w:val="20"/>
          <w:rtl w:val="0"/>
          <w:lang w:val="de-DE"/>
        </w:rPr>
        <w:t>)</w:t>
      </w:r>
    </w:p>
    <w:p>
      <w:pPr>
        <w:pStyle w:val="Normal.0"/>
        <w:tabs>
          <w:tab w:val="left" w:pos="1155"/>
        </w:tabs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tabs>
          <w:tab w:val="left" w:pos="1155"/>
        </w:tabs>
      </w:pP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(</w:t>
      </w:r>
      <w:r>
        <w:rPr>
          <w:rFonts w:ascii="Arial" w:hAnsi="Arial" w:hint="default"/>
          <w:sz w:val="20"/>
          <w:szCs w:val="20"/>
          <w:shd w:val="clear" w:color="auto" w:fill="c0c0c0"/>
          <w:rtl w:val="0"/>
          <w:lang w:val="de-DE"/>
        </w:rPr>
        <w:t>     </w:t>
      </w:r>
      <w:r>
        <w:rPr>
          <w:rFonts w:ascii="Arial" w:hAnsi="Arial"/>
          <w:sz w:val="20"/>
          <w:szCs w:val="20"/>
          <w:rtl w:val="0"/>
          <w:lang w:val="de-DE"/>
        </w:rPr>
        <w:t xml:space="preserve">) als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Datenschutzbeauftragter</w:t>
      </w:r>
      <w:r/>
    </w:p>
    <w:sectPr>
      <w:headerReference w:type="default" r:id="rId4"/>
      <w:footerReference w:type="default" r:id="rId5"/>
      <w:pgSz w:w="11900" w:h="16840" w:orient="portrait"/>
      <w:pgMar w:top="899" w:right="1417" w:bottom="733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31"/>
        </w:tabs>
        <w:ind w:left="105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31"/>
        </w:tabs>
        <w:ind w:left="1771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31"/>
        </w:tabs>
        <w:ind w:left="249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31"/>
        </w:tabs>
        <w:ind w:left="321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31"/>
        </w:tabs>
        <w:ind w:left="3931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31"/>
        </w:tabs>
        <w:ind w:left="465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31"/>
        </w:tabs>
        <w:ind w:left="5371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31"/>
        </w:tabs>
        <w:ind w:left="6091" w:hanging="29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6"/>
    </w:lvlOverride>
  </w:num>
  <w:num w:numId="3">
    <w:abstractNumId w:val="1"/>
  </w:num>
  <w:num w:numId="4">
    <w:abstractNumId w:val="1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5556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5556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5556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5556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5556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5556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5556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56" w:hanging="15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5556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